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B8" w:rsidRPr="001A40E2" w:rsidRDefault="001D125F" w:rsidP="007B18B8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Radioactive half-life</w:t>
      </w:r>
    </w:p>
    <w:p w:rsidR="007B18B8" w:rsidRDefault="007B18B8" w:rsidP="007B18B8">
      <w:pPr>
        <w:spacing w:after="180"/>
      </w:pPr>
    </w:p>
    <w:p w:rsidR="001D125F" w:rsidRPr="001D125F" w:rsidRDefault="001D125F" w:rsidP="001D125F">
      <w:pPr>
        <w:spacing w:line="276" w:lineRule="auto"/>
        <w:rPr>
          <w:lang w:val="en-US"/>
        </w:rPr>
      </w:pPr>
      <w:r w:rsidRPr="001D125F">
        <w:rPr>
          <w:lang w:val="en-US"/>
        </w:rPr>
        <w:t>Bismuth-212 is a radioactive isotope.</w:t>
      </w:r>
    </w:p>
    <w:p w:rsidR="007B18B8" w:rsidRDefault="001D125F" w:rsidP="001D125F">
      <w:pPr>
        <w:spacing w:after="360" w:line="276" w:lineRule="auto"/>
        <w:rPr>
          <w:lang w:val="en-US"/>
        </w:rPr>
      </w:pPr>
      <w:r w:rsidRPr="001D125F">
        <w:rPr>
          <w:lang w:val="en-US"/>
        </w:rPr>
        <w:t>It has a half-life of about one hour.</w:t>
      </w:r>
    </w:p>
    <w:p w:rsidR="001D125F" w:rsidRDefault="001D125F" w:rsidP="001D125F">
      <w:pPr>
        <w:spacing w:line="276" w:lineRule="auto"/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310930C9">
            <wp:extent cx="5058510" cy="1665027"/>
            <wp:effectExtent l="0" t="0" r="889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523" cy="16808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125F" w:rsidRDefault="001D125F" w:rsidP="001D125F">
      <w:pPr>
        <w:spacing w:line="276" w:lineRule="auto"/>
        <w:rPr>
          <w:szCs w:val="18"/>
        </w:rPr>
      </w:pPr>
    </w:p>
    <w:p w:rsidR="001D125F" w:rsidRPr="001D125F" w:rsidRDefault="001D125F" w:rsidP="001D125F">
      <w:pPr>
        <w:spacing w:before="240" w:line="276" w:lineRule="auto"/>
        <w:rPr>
          <w:szCs w:val="18"/>
        </w:rPr>
      </w:pPr>
      <w:r w:rsidRPr="001D125F">
        <w:rPr>
          <w:szCs w:val="18"/>
          <w:lang w:val="en-US"/>
        </w:rPr>
        <w:t>A Geiger-Muller tube is used to measure its radiation.</w:t>
      </w:r>
    </w:p>
    <w:p w:rsidR="001D125F" w:rsidRPr="001D125F" w:rsidRDefault="001D125F" w:rsidP="001D125F">
      <w:pPr>
        <w:spacing w:line="276" w:lineRule="auto"/>
        <w:rPr>
          <w:szCs w:val="18"/>
        </w:rPr>
      </w:pPr>
      <w:r w:rsidRPr="001D125F">
        <w:rPr>
          <w:szCs w:val="18"/>
          <w:lang w:val="en-US"/>
        </w:rPr>
        <w:t>After one hour (</w:t>
      </w:r>
      <w:r w:rsidRPr="001D125F">
        <w:rPr>
          <w:b/>
          <w:bCs/>
          <w:szCs w:val="18"/>
          <w:lang w:val="en-US"/>
        </w:rPr>
        <w:t>one half-life</w:t>
      </w:r>
      <w:r w:rsidRPr="001D125F">
        <w:rPr>
          <w:szCs w:val="18"/>
          <w:lang w:val="en-US"/>
        </w:rPr>
        <w:t>), the count rate is half what it was at the start.</w:t>
      </w:r>
    </w:p>
    <w:p w:rsidR="001D125F" w:rsidRPr="00201AC2" w:rsidRDefault="001D125F" w:rsidP="001D125F">
      <w:pPr>
        <w:spacing w:line="276" w:lineRule="auto"/>
        <w:rPr>
          <w:szCs w:val="18"/>
        </w:rPr>
      </w:pPr>
    </w:p>
    <w:p w:rsidR="001D125F" w:rsidRDefault="001D125F" w:rsidP="001D125F">
      <w:pPr>
        <w:spacing w:before="480" w:after="120"/>
        <w:ind w:left="425" w:hanging="425"/>
        <w:rPr>
          <w:sz w:val="28"/>
          <w:szCs w:val="18"/>
          <w:lang w:val="en-US"/>
        </w:rPr>
      </w:pPr>
      <w:r w:rsidRPr="001D125F">
        <w:rPr>
          <w:sz w:val="28"/>
          <w:szCs w:val="18"/>
          <w:lang w:val="en-US"/>
        </w:rPr>
        <w:t>What is the definition of radioactive half-life?</w:t>
      </w:r>
    </w:p>
    <w:p w:rsidR="007B18B8" w:rsidRPr="00FB2831" w:rsidRDefault="007B18B8" w:rsidP="00C23911">
      <w:pPr>
        <w:spacing w:after="240"/>
        <w:ind w:left="425" w:hanging="425"/>
        <w:rPr>
          <w:i/>
        </w:rPr>
      </w:pPr>
      <w:r w:rsidRPr="00FB2831">
        <w:rPr>
          <w:i/>
        </w:rPr>
        <w:t>Put a tick (</w:t>
      </w:r>
      <w:r w:rsidRPr="00FB2831">
        <w:rPr>
          <w:i/>
        </w:rPr>
        <w:sym w:font="Wingdings" w:char="F0FC"/>
      </w:r>
      <w:r w:rsidRPr="00FB2831">
        <w:rPr>
          <w:i/>
        </w:rPr>
        <w:t>) in the box next to the best answer.</w:t>
      </w:r>
      <w:r w:rsidRPr="00FB2831">
        <w:rPr>
          <w:i/>
        </w:rPr>
        <w:tab/>
      </w:r>
    </w:p>
    <w:tbl>
      <w:tblPr>
        <w:tblW w:w="8789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567"/>
      </w:tblGrid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23911" w:rsidRDefault="001D125F" w:rsidP="00677EDD">
            <w:pPr>
              <w:tabs>
                <w:tab w:val="right" w:leader="dot" w:pos="8680"/>
              </w:tabs>
            </w:pPr>
            <w:r w:rsidRPr="001D125F">
              <w:t>Half the time it takes for a radioactive atom to decay.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 xml:space="preserve"> </w:t>
            </w:r>
          </w:p>
        </w:tc>
        <w:tc>
          <w:tcPr>
            <w:tcW w:w="7655" w:type="dxa"/>
          </w:tcPr>
          <w:p w:rsidR="007B18B8" w:rsidRPr="00C23911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23911" w:rsidRDefault="001D125F" w:rsidP="00677EDD">
            <w:pPr>
              <w:tabs>
                <w:tab w:val="right" w:leader="dot" w:pos="8680"/>
              </w:tabs>
            </w:pPr>
            <w:r w:rsidRPr="001D125F">
              <w:t xml:space="preserve">The average time it takes for a radioactive atom to decay.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170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bookmarkStart w:id="0" w:name="_Hlk94701925"/>
          </w:p>
        </w:tc>
        <w:tc>
          <w:tcPr>
            <w:tcW w:w="7655" w:type="dxa"/>
          </w:tcPr>
          <w:p w:rsidR="007B18B8" w:rsidRPr="00C23911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B18B8" w:rsidRPr="00AE07E9" w:rsidTr="00677EDD">
        <w:trPr>
          <w:cantSplit/>
          <w:trHeight w:hRule="exact" w:val="567"/>
        </w:trPr>
        <w:tc>
          <w:tcPr>
            <w:tcW w:w="567" w:type="dxa"/>
            <w:vAlign w:val="center"/>
          </w:tcPr>
          <w:p w:rsidR="007B18B8" w:rsidRPr="00AE07E9" w:rsidRDefault="007B18B8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7B18B8" w:rsidRPr="00C23911" w:rsidRDefault="001D125F" w:rsidP="00677EDD">
            <w:pPr>
              <w:tabs>
                <w:tab w:val="right" w:leader="dot" w:pos="8680"/>
              </w:tabs>
            </w:pPr>
            <w:r w:rsidRPr="001D125F">
              <w:t>The time it takes for half the radioactive atoms to decay.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B8" w:rsidRPr="00AE07E9" w:rsidRDefault="007B18B8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bookmarkEnd w:id="0"/>
      <w:tr w:rsidR="001D125F" w:rsidRPr="001D125F" w:rsidTr="000A7438">
        <w:trPr>
          <w:cantSplit/>
          <w:trHeight w:hRule="exact" w:val="170"/>
        </w:trPr>
        <w:tc>
          <w:tcPr>
            <w:tcW w:w="567" w:type="dxa"/>
            <w:vAlign w:val="center"/>
          </w:tcPr>
          <w:p w:rsidR="001D125F" w:rsidRPr="001D125F" w:rsidRDefault="001D125F" w:rsidP="001D125F">
            <w:pPr>
              <w:spacing w:after="240"/>
              <w:rPr>
                <w:b/>
                <w:szCs w:val="18"/>
              </w:rPr>
            </w:pPr>
          </w:p>
        </w:tc>
        <w:tc>
          <w:tcPr>
            <w:tcW w:w="7655" w:type="dxa"/>
          </w:tcPr>
          <w:p w:rsidR="001D125F" w:rsidRPr="001D125F" w:rsidRDefault="001D125F" w:rsidP="001D125F">
            <w:pPr>
              <w:spacing w:after="240"/>
              <w:rPr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D125F" w:rsidRPr="001D125F" w:rsidRDefault="001D125F" w:rsidP="001D125F">
            <w:pPr>
              <w:spacing w:after="240"/>
              <w:rPr>
                <w:szCs w:val="18"/>
              </w:rPr>
            </w:pPr>
          </w:p>
        </w:tc>
      </w:tr>
      <w:tr w:rsidR="001D125F" w:rsidRPr="001D125F" w:rsidTr="000A7438">
        <w:trPr>
          <w:cantSplit/>
          <w:trHeight w:hRule="exact" w:val="567"/>
        </w:trPr>
        <w:tc>
          <w:tcPr>
            <w:tcW w:w="567" w:type="dxa"/>
            <w:vAlign w:val="center"/>
          </w:tcPr>
          <w:p w:rsidR="001D125F" w:rsidRPr="001D125F" w:rsidRDefault="001D125F" w:rsidP="001D125F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D</w:t>
            </w:r>
          </w:p>
        </w:tc>
        <w:tc>
          <w:tcPr>
            <w:tcW w:w="7655" w:type="dxa"/>
            <w:tcBorders>
              <w:right w:val="single" w:sz="4" w:space="0" w:color="auto"/>
            </w:tcBorders>
            <w:vAlign w:val="center"/>
          </w:tcPr>
          <w:p w:rsidR="001D125F" w:rsidRPr="001D125F" w:rsidRDefault="001D125F" w:rsidP="001D125F">
            <w:pPr>
              <w:rPr>
                <w:szCs w:val="18"/>
              </w:rPr>
            </w:pPr>
            <w:r w:rsidRPr="001D125F">
              <w:rPr>
                <w:szCs w:val="18"/>
              </w:rPr>
              <w:t>The time at which half the radioactive atoms will decay.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F" w:rsidRPr="001D125F" w:rsidRDefault="001D125F" w:rsidP="001D125F">
            <w:pPr>
              <w:spacing w:after="240"/>
              <w:rPr>
                <w:szCs w:val="18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 w:rsidRPr="00E90654">
        <w:rPr>
          <w:i/>
          <w:sz w:val="18"/>
          <w:szCs w:val="18"/>
        </w:rPr>
        <w:lastRenderedPageBreak/>
        <w:t>Physics</w:t>
      </w:r>
      <w:r w:rsidR="006F3279" w:rsidRPr="00E90654">
        <w:rPr>
          <w:i/>
          <w:sz w:val="18"/>
          <w:szCs w:val="18"/>
        </w:rPr>
        <w:t xml:space="preserve"> &gt; </w:t>
      </w:r>
      <w:r w:rsidR="0007651D" w:rsidRPr="00E90654">
        <w:rPr>
          <w:i/>
          <w:sz w:val="18"/>
          <w:szCs w:val="18"/>
        </w:rPr>
        <w:t xml:space="preserve">Big idea </w:t>
      </w:r>
      <w:r w:rsidRPr="00E90654">
        <w:rPr>
          <w:i/>
          <w:sz w:val="18"/>
          <w:szCs w:val="18"/>
        </w:rPr>
        <w:t>P</w:t>
      </w:r>
      <w:r w:rsidR="00E90654" w:rsidRPr="00E90654">
        <w:rPr>
          <w:i/>
          <w:sz w:val="18"/>
          <w:szCs w:val="18"/>
        </w:rPr>
        <w:t>MA</w:t>
      </w:r>
      <w:r w:rsidR="0007651D" w:rsidRPr="00E90654">
        <w:rPr>
          <w:i/>
          <w:sz w:val="18"/>
          <w:szCs w:val="18"/>
        </w:rPr>
        <w:t xml:space="preserve">: </w:t>
      </w:r>
      <w:r w:rsidR="00E90654" w:rsidRPr="00E90654">
        <w:rPr>
          <w:i/>
          <w:sz w:val="18"/>
          <w:szCs w:val="18"/>
        </w:rPr>
        <w:t>Matter</w:t>
      </w:r>
      <w:r w:rsidR="0007651D" w:rsidRPr="00E90654">
        <w:rPr>
          <w:i/>
          <w:sz w:val="18"/>
          <w:szCs w:val="18"/>
        </w:rPr>
        <w:t xml:space="preserve"> &gt; Topic </w:t>
      </w:r>
      <w:r w:rsidRPr="00E90654">
        <w:rPr>
          <w:i/>
          <w:sz w:val="18"/>
          <w:szCs w:val="18"/>
        </w:rPr>
        <w:t>P</w:t>
      </w:r>
      <w:r w:rsidR="00E90654" w:rsidRPr="00E90654">
        <w:rPr>
          <w:i/>
          <w:sz w:val="18"/>
          <w:szCs w:val="18"/>
        </w:rPr>
        <w:t>MA5</w:t>
      </w:r>
      <w:r w:rsidR="0007651D" w:rsidRPr="00E90654">
        <w:rPr>
          <w:i/>
          <w:sz w:val="18"/>
          <w:szCs w:val="18"/>
        </w:rPr>
        <w:t xml:space="preserve">: </w:t>
      </w:r>
      <w:r w:rsidR="00E90654" w:rsidRPr="00E90654">
        <w:rPr>
          <w:i/>
          <w:sz w:val="18"/>
          <w:szCs w:val="18"/>
        </w:rPr>
        <w:t>Nuclear physics</w:t>
      </w:r>
      <w:r w:rsidR="006F3279" w:rsidRPr="00E90654">
        <w:rPr>
          <w:i/>
          <w:sz w:val="18"/>
          <w:szCs w:val="18"/>
        </w:rPr>
        <w:t xml:space="preserve"> &gt; </w:t>
      </w:r>
      <w:r w:rsidR="0007651D" w:rsidRPr="00E90654">
        <w:rPr>
          <w:i/>
          <w:sz w:val="18"/>
          <w:szCs w:val="18"/>
        </w:rPr>
        <w:t>Key concept</w:t>
      </w:r>
      <w:r w:rsidR="006F3279" w:rsidRPr="00E90654">
        <w:rPr>
          <w:i/>
          <w:sz w:val="18"/>
          <w:szCs w:val="18"/>
        </w:rPr>
        <w:t xml:space="preserve"> </w:t>
      </w:r>
      <w:r w:rsidR="00E90654" w:rsidRPr="00E90654">
        <w:rPr>
          <w:i/>
          <w:sz w:val="18"/>
          <w:szCs w:val="18"/>
        </w:rPr>
        <w:t>PMA5.4</w:t>
      </w:r>
      <w:r w:rsidR="006F3279" w:rsidRPr="00E90654">
        <w:rPr>
          <w:i/>
          <w:sz w:val="18"/>
          <w:szCs w:val="18"/>
        </w:rPr>
        <w:t xml:space="preserve">: </w:t>
      </w:r>
      <w:r w:rsidR="00E90654" w:rsidRPr="00E90654">
        <w:rPr>
          <w:i/>
          <w:sz w:val="18"/>
          <w:szCs w:val="18"/>
        </w:rPr>
        <w:t>Radioactive half-life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157B4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Radioactive half-life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E90654" w:rsidP="0007651D">
            <w:pPr>
              <w:spacing w:before="60" w:after="60"/>
            </w:pPr>
            <w:r w:rsidRPr="00E90654">
              <w:t>Radioactive half-life is the predicted time it takes for half of a large sample of radioactive nuclei to decay randomly.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02B25" w:rsidRDefault="00A43FF7" w:rsidP="0007651D">
            <w:pPr>
              <w:spacing w:before="60" w:after="60"/>
              <w:rPr>
                <w:b/>
              </w:rPr>
            </w:pPr>
            <w:r w:rsidRPr="00902B25">
              <w:rPr>
                <w:rFonts w:cstheme="minorHAnsi"/>
                <w:szCs w:val="20"/>
              </w:rPr>
              <w:t>Describe patterns in the random nature of radioactive decay and interpret radioactive half-life graphs.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C5F4F" w:rsidP="007B18B8">
            <w:pPr>
              <w:spacing w:before="60" w:after="60"/>
            </w:pPr>
            <w:r>
              <w:t>S</w:t>
            </w:r>
            <w:r w:rsidR="007B18B8">
              <w:t>imple</w:t>
            </w:r>
            <w:r w:rsidR="00535269" w:rsidRPr="00535269">
              <w:t xml:space="preserve"> multiple</w:t>
            </w:r>
            <w:r w:rsidR="00535269">
              <w:t xml:space="preserve">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43FF7" w:rsidP="000505CA">
            <w:pPr>
              <w:spacing w:before="60" w:after="60"/>
            </w:pPr>
            <w:r>
              <w:t>Half-life, radioactive atom, radioactive isotope, Geiger-</w:t>
            </w:r>
            <w:proofErr w:type="spellStart"/>
            <w:r>
              <w:t>M</w:t>
            </w:r>
            <w:r>
              <w:rPr>
                <w:rFonts w:cstheme="minorHAnsi"/>
              </w:rPr>
              <w:t>ű</w:t>
            </w:r>
            <w:r>
              <w:t>ller</w:t>
            </w:r>
            <w:proofErr w:type="spellEnd"/>
            <w:r>
              <w:t xml:space="preserve"> tube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114D8" w:rsidRDefault="00C114D8" w:rsidP="00C114D8">
      <w:pPr>
        <w:spacing w:after="60"/>
      </w:pPr>
      <w:r>
        <w:t>Misunderstandings that may stem from a thinking that ‘only clearly determined events can lead to predictable outcomes’ are:</w:t>
      </w:r>
    </w:p>
    <w:p w:rsidR="00C114D8" w:rsidRDefault="00C114D8" w:rsidP="00CA116F">
      <w:pPr>
        <w:pStyle w:val="ListParagraph"/>
        <w:numPr>
          <w:ilvl w:val="0"/>
          <w:numId w:val="5"/>
        </w:numPr>
        <w:spacing w:after="180"/>
        <w:ind w:left="567" w:hanging="425"/>
      </w:pPr>
      <w:r>
        <w:t xml:space="preserve">a radioactive material will be safe and no longer radioactive after one half-life </w:t>
      </w:r>
      <w:r>
        <w:fldChar w:fldCharType="begin"/>
      </w:r>
      <w:r>
        <w:instrText xml:space="preserve"> ADDIN EN.CITE &lt;EndNote&gt;&lt;Cite&gt;&lt;Author&gt;Lijnse&lt;/Author&gt;&lt;Year&gt;1990&lt;/Year&gt;&lt;IDText&gt;Pupils&amp;apos; and mass-media ideas about radioactivity&lt;/IDText&gt;&lt;DisplayText&gt;(Lijnse et al., 1990)&lt;/DisplayText&gt;&lt;record&gt;&lt;titles&gt;&lt;title&gt;Pupils&amp;apos; and mass-media ideas about radioactivity&lt;/title&gt;&lt;secondary-title&gt;International Journal of Science Education&lt;/secondary-title&gt;&lt;/titles&gt;&lt;contributors&gt;&lt;authors&gt;&lt;author&gt;Lijnse, P. L&lt;/author&gt;&lt;author&gt;Eijkelhof, H. M. C&lt;/author&gt;&lt;author&gt;Klaassen, C. W. J. M&lt;/author&gt;&lt;author&gt;Scholte, R. L. J&lt;/author&gt;&lt;/authors&gt;&lt;/contributors&gt;&lt;section&gt;67-78&lt;/section&gt;&lt;added-date format="utc"&gt;1641981686&lt;/added-date&gt;&lt;ref-type name="Journal Article"&gt;17&lt;/ref-type&gt;&lt;dates&gt;&lt;year&gt;1990&lt;/year&gt;&lt;/dates&gt;&lt;rec-number&gt;377&lt;/rec-number&gt;&lt;last-updated-date format="utc"&gt;1641981857&lt;/last-updated-date&gt;&lt;volume&gt;12.1&lt;/volume&gt;&lt;/record&gt;&lt;/Cite&gt;&lt;/EndNote&gt;</w:instrText>
      </w:r>
      <w:r>
        <w:fldChar w:fldCharType="separate"/>
      </w:r>
      <w:r>
        <w:rPr>
          <w:noProof/>
        </w:rPr>
        <w:t>(Lijnse et al., 1990)</w:t>
      </w:r>
      <w:r>
        <w:fldChar w:fldCharType="end"/>
      </w:r>
      <w:r>
        <w:t>;</w:t>
      </w:r>
    </w:p>
    <w:p w:rsidR="00C114D8" w:rsidRDefault="00C114D8" w:rsidP="00CA116F">
      <w:pPr>
        <w:pStyle w:val="ListParagraph"/>
        <w:numPr>
          <w:ilvl w:val="0"/>
          <w:numId w:val="5"/>
        </w:numPr>
        <w:spacing w:after="180"/>
        <w:ind w:left="567" w:hanging="425"/>
      </w:pPr>
      <w:r w:rsidRPr="00576EE0">
        <w:rPr>
          <w:i/>
        </w:rPr>
        <w:t>all</w:t>
      </w:r>
      <w:r>
        <w:t xml:space="preserve"> the radioactive atoms will have decayed after one half-life (or after </w:t>
      </w:r>
      <w:r w:rsidRPr="00576EE0">
        <w:rPr>
          <w:i/>
        </w:rPr>
        <w:t>two</w:t>
      </w:r>
      <w:r>
        <w:t xml:space="preserve"> half-lives); and </w:t>
      </w:r>
    </w:p>
    <w:p w:rsidR="00C114D8" w:rsidRDefault="00C114D8" w:rsidP="00CA116F">
      <w:pPr>
        <w:pStyle w:val="ListParagraph"/>
        <w:numPr>
          <w:ilvl w:val="0"/>
          <w:numId w:val="5"/>
        </w:numPr>
        <w:spacing w:after="180"/>
        <w:ind w:left="567" w:hanging="425"/>
      </w:pPr>
      <w:r>
        <w:t xml:space="preserve">half-life is a special time before which, or at which, a particular nucleus decays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>.</w:t>
      </w:r>
    </w:p>
    <w:p w:rsidR="00C114D8" w:rsidRDefault="00C114D8" w:rsidP="00C114D8">
      <w:pPr>
        <w:spacing w:after="180"/>
      </w:pPr>
      <w:r>
        <w:t xml:space="preserve">In each of these examples, students appear to have used the idea that ‘half-life’ is predictable, to develop a misunderstanding that the decay of particular radioactive atoms is also predictable. The last example additionally shows how some students (about a third of a sample of 55 students age 13-14) ascribe the predictive nature of a whole sample to a single radioactive nucleus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 xml:space="preserve">. In fact, an individual radioactive nucleus does not have a half-life and its decay is random. Half-life is instead, a </w:t>
      </w:r>
      <w:r>
        <w:rPr>
          <w:i/>
        </w:rPr>
        <w:t>good predictor</w:t>
      </w:r>
      <w:r>
        <w:t xml:space="preserve"> of the time it takes for half of a sample of </w:t>
      </w:r>
      <w:r>
        <w:rPr>
          <w:i/>
        </w:rPr>
        <w:t>very many</w:t>
      </w:r>
      <w:r>
        <w:t xml:space="preserve"> radioactive nuclei to decay.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7B18B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7B18B8" w:rsidRPr="00816065" w:rsidRDefault="007B18B8" w:rsidP="007B18B8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C114D8" w:rsidRDefault="00C114D8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7B18B8" w:rsidRDefault="007B18B8" w:rsidP="007B18B8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lastRenderedPageBreak/>
        <w:t>Differentiation</w:t>
      </w:r>
    </w:p>
    <w:p w:rsidR="007B18B8" w:rsidRPr="00AE7928" w:rsidRDefault="007B18B8" w:rsidP="007B18B8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</w:t>
      </w:r>
      <w:r w:rsidR="004D15C5">
        <w:rPr>
          <w:rFonts w:cstheme="minorHAnsi"/>
        </w:rPr>
        <w:t>,</w:t>
      </w:r>
      <w:r w:rsidRPr="00AE7928">
        <w:rPr>
          <w:rFonts w:cstheme="minorHAnsi"/>
        </w:rPr>
        <w:t xml:space="preserve"> it may be more appropriate for a teaching assistant to read for one or two students.</w:t>
      </w:r>
    </w:p>
    <w:p w:rsidR="00E172C6" w:rsidRPr="004D15C5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4D15C5">
        <w:rPr>
          <w:b/>
          <w:color w:val="5F497A" w:themeColor="accent4" w:themeShade="BF"/>
          <w:sz w:val="24"/>
        </w:rPr>
        <w:t>Expected answers</w:t>
      </w:r>
    </w:p>
    <w:p w:rsidR="00BF6C8A" w:rsidRDefault="00C114D8" w:rsidP="00BF6C8A">
      <w:pPr>
        <w:spacing w:after="180"/>
      </w:pPr>
      <w:r>
        <w:t>C</w:t>
      </w:r>
    </w:p>
    <w:p w:rsidR="003E609A" w:rsidRDefault="004C5D20" w:rsidP="00A01222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F91B51" w:rsidRDefault="00F91B51" w:rsidP="00E50CCF">
      <w:pPr>
        <w:spacing w:after="180"/>
      </w:pPr>
      <w:r w:rsidRPr="00E90654">
        <w:t>Radioactive half-life is the predicted time it takes for half of a large sample of radioactive nuclei to decay randomly.</w:t>
      </w:r>
      <w:r>
        <w:t xml:space="preserve"> It is </w:t>
      </w:r>
      <w:r w:rsidR="00E25782">
        <w:t>an</w:t>
      </w:r>
      <w:r>
        <w:t xml:space="preserve"> example of </w:t>
      </w:r>
      <w:r w:rsidR="00E25782">
        <w:t>many random events combining to give a predictable outcome</w:t>
      </w:r>
      <w:r>
        <w:t>.</w:t>
      </w:r>
    </w:p>
    <w:p w:rsidR="00056CF4" w:rsidRPr="00E905A2" w:rsidRDefault="00056CF4" w:rsidP="00056CF4">
      <w:pPr>
        <w:spacing w:after="180"/>
        <w:ind w:left="426" w:hanging="426"/>
      </w:pPr>
      <w:r w:rsidRPr="00E905A2">
        <w:t>A</w:t>
      </w:r>
      <w:r w:rsidRPr="00E905A2">
        <w:tab/>
      </w:r>
      <w:r w:rsidR="00E905A2">
        <w:t xml:space="preserve">Students choosing this option most likely take ‘half-life’ to mean literally ‘half of the life-span’ of each radioactive atom. They are wrongly ascribing the same predictable outcomes of a large </w:t>
      </w:r>
      <w:r w:rsidR="00E905A2" w:rsidRPr="00E905A2">
        <w:t>number of radioactive atoms to each individual atom, which is a common thing to do.</w:t>
      </w:r>
    </w:p>
    <w:p w:rsidR="00056CF4" w:rsidRDefault="00E905A2" w:rsidP="00056CF4">
      <w:pPr>
        <w:spacing w:after="180"/>
        <w:ind w:left="426" w:hanging="426"/>
      </w:pPr>
      <w:r w:rsidRPr="00E905A2">
        <w:t>B</w:t>
      </w:r>
      <w:r w:rsidRPr="00E905A2">
        <w:tab/>
      </w:r>
      <w:r>
        <w:t xml:space="preserve">This option superficially makes sense, but if half-life is the average lifespan of each radioactive </w:t>
      </w:r>
      <w:r w:rsidR="00425CDE">
        <w:t>the mathematics imply</w:t>
      </w:r>
      <w:r>
        <w:t xml:space="preserve"> that: all of them will have decayed after two half-lives, but at random times up to this point; or the large majority decay </w:t>
      </w:r>
      <w:r w:rsidRPr="00E905A2">
        <w:rPr>
          <w:i/>
        </w:rPr>
        <w:t>before</w:t>
      </w:r>
      <w:r>
        <w:t xml:space="preserve"> one half-life and a few do not decay for a long time. </w:t>
      </w:r>
    </w:p>
    <w:p w:rsidR="00902B25" w:rsidRPr="00E905A2" w:rsidRDefault="00902B25" w:rsidP="00056CF4">
      <w:pPr>
        <w:spacing w:after="180"/>
        <w:ind w:left="426" w:hanging="426"/>
      </w:pPr>
      <w:r>
        <w:t>D</w:t>
      </w:r>
      <w:r>
        <w:tab/>
        <w:t xml:space="preserve">It is likely that some students will have the naïve misunderstanding that half-life is the time </w:t>
      </w:r>
      <w:r w:rsidRPr="006C39DF">
        <w:rPr>
          <w:i/>
        </w:rPr>
        <w:t>at which</w:t>
      </w:r>
      <w:r>
        <w:t xml:space="preserve"> radioactive atoms decay (either half of them, or all of them). Again, these students are ascribing the predictable properties of the whole to each individual radioactive atom.</w:t>
      </w:r>
    </w:p>
    <w:p w:rsidR="00902B25" w:rsidRPr="007D186D" w:rsidRDefault="00A01222" w:rsidP="00902B25">
      <w:pPr>
        <w:spacing w:after="180"/>
      </w:pPr>
      <w:r w:rsidRPr="00902B25">
        <w:t xml:space="preserve">If students have </w:t>
      </w:r>
      <w:r w:rsidR="004B1C32" w:rsidRPr="00902B25">
        <w:t>misunderstanding</w:t>
      </w:r>
      <w:r w:rsidRPr="00902B25">
        <w:t xml:space="preserve">s about </w:t>
      </w:r>
      <w:r w:rsidR="00902B25" w:rsidRPr="00902B25">
        <w:rPr>
          <w:rFonts w:cstheme="minorHAnsi"/>
          <w:szCs w:val="20"/>
        </w:rPr>
        <w:t>describing half-life in terms of the random nature of radioactive decay</w:t>
      </w:r>
      <w:r w:rsidR="00902B25">
        <w:rPr>
          <w:rFonts w:cstheme="minorHAnsi"/>
          <w:szCs w:val="20"/>
        </w:rPr>
        <w:t xml:space="preserve">, </w:t>
      </w:r>
      <w:r w:rsidR="00902B25" w:rsidRPr="00412699">
        <w:t xml:space="preserve">it can help to model what happens </w:t>
      </w:r>
      <w:r w:rsidR="00902B25">
        <w:t>to</w:t>
      </w:r>
      <w:r w:rsidR="00902B25" w:rsidRPr="00412699">
        <w:t xml:space="preserve"> a radioactive material </w:t>
      </w:r>
      <w:r w:rsidR="00902B25">
        <w:t xml:space="preserve">as it </w:t>
      </w:r>
      <w:r w:rsidR="00902B25" w:rsidRPr="00412699">
        <w:t>decays.</w:t>
      </w:r>
      <w:r w:rsidR="00902B25">
        <w:t xml:space="preserve"> </w:t>
      </w:r>
      <w:r w:rsidR="00902B25" w:rsidRPr="007D186D">
        <w:t>The following BEST ‘response activit</w:t>
      </w:r>
      <w:r w:rsidR="00821A36">
        <w:t>ies</w:t>
      </w:r>
      <w:r w:rsidR="00902B25" w:rsidRPr="007D186D">
        <w:t xml:space="preserve">’ could be used </w:t>
      </w:r>
      <w:r w:rsidR="00902B25">
        <w:t xml:space="preserve">to do this, </w:t>
      </w:r>
      <w:r w:rsidR="00902B25" w:rsidRPr="007D186D">
        <w:t>in follow-up to this diagnostic question:</w:t>
      </w:r>
    </w:p>
    <w:p w:rsidR="00902B25" w:rsidRDefault="00902B25" w:rsidP="00902B25">
      <w:pPr>
        <w:pStyle w:val="ListParagraph"/>
        <w:numPr>
          <w:ilvl w:val="0"/>
          <w:numId w:val="1"/>
        </w:numPr>
        <w:spacing w:after="180"/>
      </w:pPr>
      <w:r w:rsidRPr="007D186D">
        <w:t xml:space="preserve">Response activity: Half-life of </w:t>
      </w:r>
      <w:r>
        <w:t xml:space="preserve">clay </w:t>
      </w:r>
      <w:r w:rsidRPr="007D186D">
        <w:t>dice</w:t>
      </w:r>
    </w:p>
    <w:p w:rsidR="00821A36" w:rsidRPr="007D186D" w:rsidRDefault="00821A36" w:rsidP="00821A36">
      <w:pPr>
        <w:pStyle w:val="ListParagraph"/>
        <w:numPr>
          <w:ilvl w:val="0"/>
          <w:numId w:val="1"/>
        </w:numPr>
        <w:spacing w:after="180"/>
      </w:pPr>
      <w:r>
        <w:t xml:space="preserve">Response activity: </w:t>
      </w:r>
      <w:r w:rsidR="005E465B">
        <w:t xml:space="preserve">Half-life of </w:t>
      </w:r>
      <w:r>
        <w:t>pizza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4D15C5">
        <w:t>).</w:t>
      </w:r>
      <w:bookmarkStart w:id="1" w:name="_GoBack"/>
      <w:bookmarkEnd w:id="1"/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563816">
        <w:t>.</w:t>
      </w:r>
    </w:p>
    <w:p w:rsidR="004D15C5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C114D8" w:rsidRPr="00C114D8" w:rsidRDefault="004D15C5" w:rsidP="00C114D8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C114D8" w:rsidRPr="00C114D8">
        <w:t xml:space="preserve">Hull, M. M. and Hopf, M. (2020). Student Understanding of Emergent Aspects of Radioactivity. </w:t>
      </w:r>
      <w:r w:rsidR="00C114D8" w:rsidRPr="00C114D8">
        <w:rPr>
          <w:i/>
        </w:rPr>
        <w:t>International Journal of Physics and Chemistry Education,</w:t>
      </w:r>
      <w:r w:rsidR="00C114D8" w:rsidRPr="00C114D8">
        <w:t xml:space="preserve"> 12(2).</w:t>
      </w:r>
    </w:p>
    <w:p w:rsidR="00C114D8" w:rsidRPr="00C114D8" w:rsidRDefault="00C114D8" w:rsidP="00C114D8">
      <w:pPr>
        <w:pStyle w:val="EndNoteBibliography"/>
        <w:spacing w:after="120"/>
        <w:ind w:left="426" w:hanging="426"/>
      </w:pPr>
      <w:r w:rsidRPr="00C114D8">
        <w:t xml:space="preserve">Lijnse, P. L., et al. (1990). Pupils' and mass-media ideas about radioactivity. </w:t>
      </w:r>
      <w:r w:rsidRPr="00C114D8">
        <w:rPr>
          <w:i/>
        </w:rPr>
        <w:t>International Journal of Science Education,</w:t>
      </w:r>
      <w:r w:rsidRPr="00C114D8">
        <w:t xml:space="preserve"> 12.1.</w:t>
      </w:r>
    </w:p>
    <w:p w:rsidR="00B46FF9" w:rsidRDefault="004D15C5" w:rsidP="00C114D8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0A0" w:rsidRDefault="00BD00A0" w:rsidP="000B473B">
      <w:r>
        <w:separator/>
      </w:r>
    </w:p>
  </w:endnote>
  <w:endnote w:type="continuationSeparator" w:id="0">
    <w:p w:rsidR="00BD00A0" w:rsidRDefault="00BD00A0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08825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0B11B1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C39DF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0A0" w:rsidRDefault="00BD00A0" w:rsidP="000B473B">
      <w:r>
        <w:separator/>
      </w:r>
    </w:p>
  </w:footnote>
  <w:footnote w:type="continuationSeparator" w:id="0">
    <w:p w:rsidR="00BD00A0" w:rsidRDefault="00BD00A0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FC827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4358E6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84345"/>
    <w:multiLevelType w:val="hybridMultilevel"/>
    <w:tmpl w:val="EF1A4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28215E"/>
    <w:multiLevelType w:val="hybridMultilevel"/>
    <w:tmpl w:val="7C8EB9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D00A0"/>
    <w:rsid w:val="00015578"/>
    <w:rsid w:val="00024731"/>
    <w:rsid w:val="00026DEC"/>
    <w:rsid w:val="000505CA"/>
    <w:rsid w:val="00056CF4"/>
    <w:rsid w:val="00066234"/>
    <w:rsid w:val="0007651D"/>
    <w:rsid w:val="0009089A"/>
    <w:rsid w:val="000947E2"/>
    <w:rsid w:val="00095E04"/>
    <w:rsid w:val="000A0D12"/>
    <w:rsid w:val="000B11B1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D125F"/>
    <w:rsid w:val="00201AC2"/>
    <w:rsid w:val="00214608"/>
    <w:rsid w:val="0021607B"/>
    <w:rsid w:val="002178AC"/>
    <w:rsid w:val="0022547C"/>
    <w:rsid w:val="0025410A"/>
    <w:rsid w:val="00257F57"/>
    <w:rsid w:val="00265E31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E609A"/>
    <w:rsid w:val="003F16F9"/>
    <w:rsid w:val="00425CDE"/>
    <w:rsid w:val="00430C1F"/>
    <w:rsid w:val="00442595"/>
    <w:rsid w:val="0045323E"/>
    <w:rsid w:val="004A23C5"/>
    <w:rsid w:val="004B0EE1"/>
    <w:rsid w:val="004B1C32"/>
    <w:rsid w:val="004C5D20"/>
    <w:rsid w:val="004D0D83"/>
    <w:rsid w:val="004D15C5"/>
    <w:rsid w:val="004E1DF1"/>
    <w:rsid w:val="004E5592"/>
    <w:rsid w:val="0050055B"/>
    <w:rsid w:val="00524710"/>
    <w:rsid w:val="00535269"/>
    <w:rsid w:val="00555342"/>
    <w:rsid w:val="005560E2"/>
    <w:rsid w:val="00563816"/>
    <w:rsid w:val="005A452E"/>
    <w:rsid w:val="005A6EE7"/>
    <w:rsid w:val="005E465B"/>
    <w:rsid w:val="005F1A7B"/>
    <w:rsid w:val="006355D8"/>
    <w:rsid w:val="00642ECD"/>
    <w:rsid w:val="006502A0"/>
    <w:rsid w:val="006772F5"/>
    <w:rsid w:val="00684B45"/>
    <w:rsid w:val="006A4440"/>
    <w:rsid w:val="006B0615"/>
    <w:rsid w:val="006C39DF"/>
    <w:rsid w:val="006D0B36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17C7"/>
    <w:rsid w:val="007C26E1"/>
    <w:rsid w:val="007D1D65"/>
    <w:rsid w:val="007D536F"/>
    <w:rsid w:val="007E0A9E"/>
    <w:rsid w:val="007E5309"/>
    <w:rsid w:val="00800DE1"/>
    <w:rsid w:val="00813F47"/>
    <w:rsid w:val="00821A36"/>
    <w:rsid w:val="008450D6"/>
    <w:rsid w:val="00856FCA"/>
    <w:rsid w:val="00873B8C"/>
    <w:rsid w:val="00880E3B"/>
    <w:rsid w:val="008A405F"/>
    <w:rsid w:val="008C7F34"/>
    <w:rsid w:val="008E580C"/>
    <w:rsid w:val="0090047A"/>
    <w:rsid w:val="00902B25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43FF7"/>
    <w:rsid w:val="00A56803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D00A0"/>
    <w:rsid w:val="00BF0BBF"/>
    <w:rsid w:val="00BF6C8A"/>
    <w:rsid w:val="00C0158D"/>
    <w:rsid w:val="00C05571"/>
    <w:rsid w:val="00C114D8"/>
    <w:rsid w:val="00C157B4"/>
    <w:rsid w:val="00C23911"/>
    <w:rsid w:val="00C246CE"/>
    <w:rsid w:val="00C54711"/>
    <w:rsid w:val="00C57FA2"/>
    <w:rsid w:val="00CA116F"/>
    <w:rsid w:val="00CC2E4D"/>
    <w:rsid w:val="00CC78A5"/>
    <w:rsid w:val="00CC7B16"/>
    <w:rsid w:val="00CE15FE"/>
    <w:rsid w:val="00D02E15"/>
    <w:rsid w:val="00D04A0D"/>
    <w:rsid w:val="00D14F44"/>
    <w:rsid w:val="00D16E4E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5F4F"/>
    <w:rsid w:val="00DD1874"/>
    <w:rsid w:val="00DD63BD"/>
    <w:rsid w:val="00DF05DB"/>
    <w:rsid w:val="00DF7E20"/>
    <w:rsid w:val="00E172C6"/>
    <w:rsid w:val="00E24309"/>
    <w:rsid w:val="00E25782"/>
    <w:rsid w:val="00E50CCF"/>
    <w:rsid w:val="00E53D82"/>
    <w:rsid w:val="00E905A2"/>
    <w:rsid w:val="00E90654"/>
    <w:rsid w:val="00E9330A"/>
    <w:rsid w:val="00ED4560"/>
    <w:rsid w:val="00ED7BEC"/>
    <w:rsid w:val="00EE6B97"/>
    <w:rsid w:val="00F12C3B"/>
    <w:rsid w:val="00F2483A"/>
    <w:rsid w:val="00F26884"/>
    <w:rsid w:val="00F72ECC"/>
    <w:rsid w:val="00F8355F"/>
    <w:rsid w:val="00F91B51"/>
    <w:rsid w:val="00FA3196"/>
    <w:rsid w:val="00FB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41CA9D1"/>
  <w15:docId w15:val="{D1A3F0C6-F29D-4D55-983D-CABACDAC9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4D15C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D15C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D15C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D15C5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Simple%20multiple%20cho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BEST_Template_D_Simple multiple choice.dotx</Template>
  <TotalTime>57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2022-02-02T13:41:00Z</dcterms:created>
  <dcterms:modified xsi:type="dcterms:W3CDTF">2022-02-09T11:03:00Z</dcterms:modified>
</cp:coreProperties>
</file>